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22" w:rsidRDefault="00B94622" w:rsidP="000B6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Что делать если обнаружил в товаре недостаток?</w:t>
      </w:r>
    </w:p>
    <w:p w:rsidR="00B94622" w:rsidRDefault="00B94622" w:rsidP="000B6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Отвечает помощник прокурора района Брянский А:А.: </w:t>
      </w:r>
      <w:r w:rsidR="002B24F2">
        <w:rPr>
          <w:rFonts w:ascii="Times New Roman" w:hAnsi="Times New Roman" w:cs="Times New Roman"/>
          <w:spacing w:val="4"/>
          <w:sz w:val="28"/>
          <w:szCs w:val="28"/>
        </w:rPr>
        <w:t>В статье 18 Федерального закона «О защите прав потребителей» указано, что п</w:t>
      </w: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</w:rPr>
        <w:t>отребитель в случае обнаружения в товаре недостатков, если они не были оговорены продавцом, по своему выбору вправе: потребовать замены на товар этой же марки (этих же модели и (или) артикула); потребовать замены на такой же товар другой марки (модели, артикула) с соответствующим перерасчетом покупной цены; потребовать соразмерного уменьшения 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0B6C82" w:rsidRDefault="00B94622" w:rsidP="000B6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Законом «О защите прав потребителей» для удовлетворения соответствующих требований потребителя.</w:t>
      </w:r>
    </w:p>
    <w:p w:rsidR="00AD0353" w:rsidRPr="000B6C82" w:rsidRDefault="00B94622" w:rsidP="000B6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 обнаружение существенного недостатка товара; нарушение установленных настоящим Законом сроков устранения недостатков товара;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sectPr w:rsidR="00AD0353" w:rsidRPr="000B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DE"/>
    <w:rsid w:val="000B6C82"/>
    <w:rsid w:val="001D70DE"/>
    <w:rsid w:val="00282634"/>
    <w:rsid w:val="002B24F2"/>
    <w:rsid w:val="00AD0353"/>
    <w:rsid w:val="00B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299D"/>
  <w15:chartTrackingRefBased/>
  <w15:docId w15:val="{F887D1BD-B46E-423C-84F3-E03D358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9</cp:revision>
  <dcterms:created xsi:type="dcterms:W3CDTF">2023-12-24T10:34:00Z</dcterms:created>
  <dcterms:modified xsi:type="dcterms:W3CDTF">2023-12-24T18:36:00Z</dcterms:modified>
</cp:coreProperties>
</file>